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9"/>
        <w:tblW w:w="9720" w:type="dxa"/>
        <w:tblLook w:val="04A0"/>
      </w:tblPr>
      <w:tblGrid>
        <w:gridCol w:w="9720"/>
      </w:tblGrid>
      <w:tr w:rsidR="006D55FC" w:rsidRPr="004E520F" w:rsidTr="00745394">
        <w:trPr>
          <w:trHeight w:val="900"/>
        </w:trPr>
        <w:tc>
          <w:tcPr>
            <w:tcW w:w="9720" w:type="dxa"/>
            <w:hideMark/>
          </w:tcPr>
          <w:p w:rsidR="006D55FC" w:rsidRPr="004E520F" w:rsidRDefault="006D55FC" w:rsidP="00745394">
            <w:pPr>
              <w:spacing w:after="0" w:line="240" w:lineRule="auto"/>
              <w:jc w:val="center"/>
              <w:rPr>
                <w:rFonts w:ascii="Times New Roman" w:eastAsia="SimHei" w:hAnsi="Times New Roman" w:cs="Mangal"/>
                <w:b/>
                <w:sz w:val="26"/>
                <w:szCs w:val="26"/>
                <w:u w:val="single"/>
              </w:rPr>
            </w:pPr>
            <w:r w:rsidRPr="004E520F">
              <w:rPr>
                <w:rFonts w:ascii="Times New Roman" w:eastAsia="SimHei" w:hAnsi="Times New Roman" w:cs="Mangal"/>
                <w:b/>
                <w:sz w:val="26"/>
                <w:szCs w:val="26"/>
                <w:u w:val="single"/>
              </w:rPr>
              <w:t>APPENDIX   XXI</w:t>
            </w:r>
          </w:p>
          <w:p w:rsidR="006D55FC" w:rsidRPr="004E520F" w:rsidRDefault="006D55FC" w:rsidP="00745394">
            <w:pPr>
              <w:spacing w:after="0" w:line="240" w:lineRule="auto"/>
              <w:jc w:val="center"/>
              <w:rPr>
                <w:rFonts w:ascii="Times New Roman" w:eastAsia="SimHei" w:hAnsi="Times New Roman" w:cs="Mangal"/>
                <w:sz w:val="24"/>
                <w:szCs w:val="24"/>
              </w:rPr>
            </w:pPr>
            <w:r w:rsidRPr="004E520F">
              <w:rPr>
                <w:rFonts w:ascii="Times New Roman" w:eastAsia="SimHei" w:hAnsi="Times New Roman" w:cs="Mangal"/>
                <w:sz w:val="24"/>
                <w:szCs w:val="24"/>
              </w:rPr>
              <w:t xml:space="preserve">OFFICIAL GAZETTE – GOVT. OF </w:t>
            </w:r>
            <w:smartTag w:uri="urn:schemas-microsoft-com:office:smarttags" w:element="place">
              <w:r w:rsidRPr="004E520F">
                <w:rPr>
                  <w:rFonts w:ascii="Times New Roman" w:eastAsia="SimHei" w:hAnsi="Times New Roman" w:cs="Mangal"/>
                  <w:sz w:val="24"/>
                  <w:szCs w:val="24"/>
                </w:rPr>
                <w:t>GOA</w:t>
              </w:r>
            </w:smartTag>
          </w:p>
          <w:p w:rsidR="006D55FC" w:rsidRPr="004E520F" w:rsidRDefault="006D55FC" w:rsidP="00745394">
            <w:pPr>
              <w:spacing w:after="0" w:line="240" w:lineRule="auto"/>
              <w:rPr>
                <w:rFonts w:ascii="Times New Roman" w:eastAsia="SimHei" w:hAnsi="Times New Roman" w:cs="Mangal"/>
                <w:sz w:val="24"/>
                <w:szCs w:val="24"/>
              </w:rPr>
            </w:pPr>
            <w:r w:rsidRPr="004E520F">
              <w:rPr>
                <w:rFonts w:ascii="Times New Roman" w:eastAsia="SimHei" w:hAnsi="Times New Roman" w:cs="Mangal"/>
                <w:sz w:val="24"/>
                <w:szCs w:val="24"/>
                <w:u w:val="single"/>
              </w:rPr>
              <w:t>SERIAL I No. 30</w:t>
            </w:r>
            <w:r w:rsidRPr="004E520F">
              <w:rPr>
                <w:rFonts w:ascii="Times New Roman" w:eastAsia="SimHei" w:hAnsi="Times New Roman" w:cs="Mangal"/>
                <w:sz w:val="24"/>
                <w:szCs w:val="24"/>
                <w:u w:val="single"/>
              </w:rPr>
              <w:tab/>
            </w:r>
            <w:r w:rsidRPr="004E520F">
              <w:rPr>
                <w:rFonts w:ascii="Times New Roman" w:eastAsia="SimHei" w:hAnsi="Times New Roman" w:cs="Mangal"/>
                <w:sz w:val="24"/>
                <w:szCs w:val="24"/>
                <w:u w:val="single"/>
              </w:rPr>
              <w:tab/>
            </w:r>
            <w:r w:rsidRPr="004E520F">
              <w:rPr>
                <w:rFonts w:ascii="Times New Roman" w:eastAsia="SimHei" w:hAnsi="Times New Roman" w:cs="Mangal"/>
                <w:sz w:val="24"/>
                <w:szCs w:val="24"/>
                <w:u w:val="single"/>
              </w:rPr>
              <w:tab/>
            </w:r>
            <w:r w:rsidRPr="004E520F">
              <w:rPr>
                <w:rFonts w:ascii="Times New Roman" w:eastAsia="SimHei" w:hAnsi="Times New Roman" w:cs="Mangal"/>
                <w:sz w:val="24"/>
                <w:szCs w:val="24"/>
                <w:u w:val="single"/>
              </w:rPr>
              <w:tab/>
            </w:r>
            <w:r w:rsidRPr="004E520F">
              <w:rPr>
                <w:rFonts w:ascii="Times New Roman" w:eastAsia="SimHei" w:hAnsi="Times New Roman" w:cs="Mangal"/>
                <w:sz w:val="24"/>
                <w:szCs w:val="24"/>
                <w:u w:val="single"/>
              </w:rPr>
              <w:tab/>
            </w:r>
            <w:r w:rsidRPr="004E520F">
              <w:rPr>
                <w:rFonts w:ascii="Times New Roman" w:eastAsia="SimHei" w:hAnsi="Times New Roman" w:cs="Mangal"/>
                <w:sz w:val="24"/>
                <w:szCs w:val="24"/>
                <w:u w:val="single"/>
              </w:rPr>
              <w:tab/>
            </w:r>
            <w:r w:rsidRPr="004E520F">
              <w:rPr>
                <w:rFonts w:ascii="Times New Roman" w:eastAsia="SimHei" w:hAnsi="Times New Roman" w:cs="Mangal"/>
                <w:sz w:val="24"/>
                <w:szCs w:val="24"/>
                <w:u w:val="single"/>
              </w:rPr>
              <w:tab/>
            </w:r>
            <w:r w:rsidRPr="004E520F">
              <w:rPr>
                <w:rFonts w:ascii="Times New Roman" w:eastAsia="SimHei" w:hAnsi="Times New Roman" w:cs="Mangal"/>
                <w:sz w:val="24"/>
                <w:szCs w:val="24"/>
                <w:u w:val="single"/>
              </w:rPr>
              <w:tab/>
              <w:t>23</w:t>
            </w:r>
            <w:r w:rsidRPr="004E520F">
              <w:rPr>
                <w:rFonts w:ascii="Times New Roman" w:eastAsia="SimHei" w:hAnsi="Times New Roman" w:cs="Mangal"/>
                <w:sz w:val="24"/>
                <w:szCs w:val="24"/>
                <w:u w:val="single"/>
                <w:vertAlign w:val="superscript"/>
              </w:rPr>
              <w:t>rd</w:t>
            </w:r>
            <w:r w:rsidRPr="004E520F">
              <w:rPr>
                <w:rFonts w:ascii="Times New Roman" w:eastAsia="SimHei" w:hAnsi="Times New Roman" w:cs="Mangal"/>
                <w:sz w:val="24"/>
                <w:szCs w:val="24"/>
                <w:u w:val="single"/>
              </w:rPr>
              <w:t xml:space="preserve"> October, 2008</w:t>
            </w:r>
          </w:p>
        </w:tc>
      </w:tr>
    </w:tbl>
    <w:p w:rsidR="006D55FC" w:rsidRPr="004E520F" w:rsidRDefault="006D55FC" w:rsidP="006D55FC">
      <w:pPr>
        <w:spacing w:after="0" w:line="240" w:lineRule="auto"/>
        <w:rPr>
          <w:rFonts w:ascii="Times New Roman" w:eastAsia="SimHei" w:hAnsi="Times New Roman" w:cs="Mangal"/>
        </w:rPr>
      </w:pPr>
      <w:r w:rsidRPr="004E520F">
        <w:rPr>
          <w:rFonts w:ascii="Times New Roman" w:eastAsia="SimHei" w:hAnsi="Times New Roman" w:cs="Mangal"/>
        </w:rPr>
        <w:t xml:space="preserve">             Department of Water Resources</w:t>
      </w:r>
    </w:p>
    <w:p w:rsidR="006D55FC" w:rsidRPr="004E520F" w:rsidRDefault="006D55FC" w:rsidP="006D55FC">
      <w:pPr>
        <w:spacing w:after="0" w:line="240" w:lineRule="auto"/>
        <w:jc w:val="center"/>
        <w:rPr>
          <w:rFonts w:ascii="Times New Roman" w:eastAsia="SimHei" w:hAnsi="Times New Roman" w:cs="Mangal"/>
        </w:rPr>
      </w:pPr>
      <w:r w:rsidRPr="004E520F">
        <w:rPr>
          <w:rFonts w:ascii="Times New Roman" w:eastAsia="SimHei" w:hAnsi="Times New Roman" w:cs="Mangal"/>
        </w:rPr>
        <w:t>Office of the Chief Engineer</w:t>
      </w:r>
    </w:p>
    <w:p w:rsidR="006D55FC" w:rsidRPr="004E520F" w:rsidRDefault="006D55FC" w:rsidP="006D55FC">
      <w:pPr>
        <w:spacing w:after="0" w:line="240" w:lineRule="auto"/>
        <w:jc w:val="center"/>
        <w:rPr>
          <w:rFonts w:ascii="Times New Roman" w:eastAsia="SimHei" w:hAnsi="Times New Roman" w:cs="Mangal"/>
        </w:rPr>
      </w:pPr>
      <w:r w:rsidRPr="004E520F">
        <w:rPr>
          <w:rFonts w:ascii="Times New Roman" w:eastAsia="SimHei" w:hAnsi="Times New Roman" w:cs="Mangal"/>
        </w:rPr>
        <w:t>---</w:t>
      </w:r>
    </w:p>
    <w:p w:rsidR="006D55FC" w:rsidRPr="004E520F" w:rsidRDefault="006D55FC" w:rsidP="006D55FC">
      <w:pPr>
        <w:spacing w:after="0" w:line="240" w:lineRule="auto"/>
        <w:jc w:val="center"/>
        <w:rPr>
          <w:rFonts w:ascii="Times New Roman" w:eastAsia="SimHei" w:hAnsi="Times New Roman" w:cs="Mangal"/>
          <w:b/>
        </w:rPr>
      </w:pPr>
      <w:r w:rsidRPr="004E520F">
        <w:rPr>
          <w:rFonts w:ascii="Times New Roman" w:eastAsia="SimHei" w:hAnsi="Times New Roman" w:cs="Mangal"/>
          <w:b/>
        </w:rPr>
        <w:t>Notification</w:t>
      </w:r>
    </w:p>
    <w:p w:rsidR="006D55FC" w:rsidRPr="004E520F" w:rsidRDefault="006D55FC" w:rsidP="006D55FC">
      <w:pPr>
        <w:spacing w:after="0" w:line="240" w:lineRule="auto"/>
        <w:jc w:val="center"/>
        <w:rPr>
          <w:rFonts w:ascii="Times New Roman" w:eastAsia="SimHei" w:hAnsi="Times New Roman" w:cs="Mangal"/>
        </w:rPr>
      </w:pPr>
    </w:p>
    <w:p w:rsidR="006D55FC" w:rsidRPr="004E520F" w:rsidRDefault="006D55FC" w:rsidP="006D55FC">
      <w:pPr>
        <w:spacing w:after="0" w:line="240" w:lineRule="auto"/>
        <w:jc w:val="center"/>
        <w:rPr>
          <w:rFonts w:ascii="Times New Roman" w:eastAsia="SimHei" w:hAnsi="Times New Roman" w:cs="Mangal"/>
        </w:rPr>
      </w:pPr>
      <w:r w:rsidRPr="004E520F">
        <w:rPr>
          <w:rFonts w:ascii="Times New Roman" w:eastAsia="SimHei" w:hAnsi="Times New Roman" w:cs="Mangal"/>
        </w:rPr>
        <w:t>4/4/EO-WRD/450</w:t>
      </w:r>
    </w:p>
    <w:p w:rsidR="006D55FC" w:rsidRPr="004E520F" w:rsidRDefault="006D55FC" w:rsidP="006D55FC">
      <w:pPr>
        <w:spacing w:after="0" w:line="240" w:lineRule="auto"/>
        <w:jc w:val="center"/>
        <w:rPr>
          <w:rFonts w:ascii="Times New Roman" w:eastAsia="SimHei" w:hAnsi="Times New Roman" w:cs="Mangal"/>
        </w:rPr>
      </w:pPr>
    </w:p>
    <w:p w:rsidR="006D55FC" w:rsidRPr="004E520F" w:rsidRDefault="006D55FC" w:rsidP="006D55FC">
      <w:pPr>
        <w:spacing w:after="0" w:line="240" w:lineRule="auto"/>
        <w:jc w:val="both"/>
        <w:rPr>
          <w:rFonts w:ascii="Times New Roman" w:eastAsia="SimHei" w:hAnsi="Times New Roman" w:cs="Mangal"/>
        </w:rPr>
      </w:pPr>
      <w:r w:rsidRPr="004E520F">
        <w:rPr>
          <w:rFonts w:ascii="Times New Roman" w:eastAsia="SimHei" w:hAnsi="Times New Roman" w:cs="Mangal"/>
        </w:rPr>
        <w:t>Sub</w:t>
      </w:r>
      <w:proofErr w:type="gramStart"/>
      <w:r w:rsidRPr="004E520F">
        <w:rPr>
          <w:rFonts w:ascii="Times New Roman" w:eastAsia="SimHei" w:hAnsi="Times New Roman" w:cs="Mangal"/>
        </w:rPr>
        <w:t>:-</w:t>
      </w:r>
      <w:proofErr w:type="gramEnd"/>
      <w:r w:rsidRPr="004E520F">
        <w:rPr>
          <w:rFonts w:ascii="Times New Roman" w:eastAsia="SimHei" w:hAnsi="Times New Roman" w:cs="Mangal"/>
        </w:rPr>
        <w:t xml:space="preserve"> Policy on Rainwater Harvesting.</w:t>
      </w:r>
    </w:p>
    <w:p w:rsidR="006D55FC" w:rsidRPr="004E520F" w:rsidRDefault="006D55FC" w:rsidP="006D55FC">
      <w:pPr>
        <w:spacing w:after="0" w:line="240" w:lineRule="auto"/>
        <w:jc w:val="both"/>
        <w:rPr>
          <w:rFonts w:ascii="Times New Roman" w:eastAsia="SimHei" w:hAnsi="Times New Roman" w:cs="Mangal"/>
        </w:rPr>
      </w:pPr>
    </w:p>
    <w:p w:rsidR="006D55FC" w:rsidRPr="004E520F" w:rsidRDefault="006D55FC" w:rsidP="006D55FC">
      <w:pPr>
        <w:spacing w:after="0" w:line="240" w:lineRule="auto"/>
        <w:jc w:val="both"/>
        <w:rPr>
          <w:rFonts w:ascii="Times New Roman" w:eastAsia="SimHei" w:hAnsi="Times New Roman" w:cs="Mangal"/>
        </w:rPr>
      </w:pPr>
      <w:r w:rsidRPr="004E520F">
        <w:rPr>
          <w:rFonts w:ascii="Times New Roman" w:eastAsia="SimHei" w:hAnsi="Times New Roman" w:cs="Mangal"/>
        </w:rPr>
        <w:t>1.0 General:</w:t>
      </w:r>
    </w:p>
    <w:p w:rsidR="006D55FC" w:rsidRPr="004E520F" w:rsidRDefault="006D55FC" w:rsidP="006D55FC">
      <w:pPr>
        <w:spacing w:after="0" w:line="240" w:lineRule="auto"/>
        <w:jc w:val="both"/>
        <w:rPr>
          <w:rFonts w:ascii="Times New Roman" w:eastAsia="SimHei" w:hAnsi="Times New Roman" w:cs="Mangal"/>
        </w:rPr>
      </w:pPr>
      <w:r w:rsidRPr="004E520F">
        <w:rPr>
          <w:rFonts w:ascii="Times New Roman" w:eastAsia="SimHei" w:hAnsi="Times New Roman" w:cs="Mangal"/>
        </w:rPr>
        <w:tab/>
        <w:t>Government has adopted a policy on roof-top rainwater harvesting. This notification gives details for the guidance of all the concerned departments for the implementation of the policy and for the information of the public. The policy will become effective from the date of its publication in the Official Gazette.</w:t>
      </w:r>
    </w:p>
    <w:p w:rsidR="006D55FC" w:rsidRPr="004E520F" w:rsidRDefault="006D55FC" w:rsidP="006D55FC">
      <w:pPr>
        <w:spacing w:after="0" w:line="240" w:lineRule="auto"/>
        <w:jc w:val="both"/>
        <w:rPr>
          <w:rFonts w:ascii="Times New Roman" w:eastAsia="SimHei" w:hAnsi="Times New Roman" w:cs="Mangal"/>
        </w:rPr>
      </w:pPr>
    </w:p>
    <w:p w:rsidR="006D55FC" w:rsidRPr="004E520F" w:rsidRDefault="006D55FC" w:rsidP="006D55FC">
      <w:pPr>
        <w:spacing w:after="0" w:line="240" w:lineRule="auto"/>
        <w:jc w:val="both"/>
        <w:rPr>
          <w:rFonts w:ascii="Times New Roman" w:eastAsia="SimHei" w:hAnsi="Times New Roman" w:cs="Mangal"/>
        </w:rPr>
      </w:pPr>
      <w:r w:rsidRPr="004E520F">
        <w:rPr>
          <w:rFonts w:ascii="Times New Roman" w:eastAsia="SimHei" w:hAnsi="Times New Roman" w:cs="Mangal"/>
        </w:rPr>
        <w:t>2.0 Definition and scope:</w:t>
      </w:r>
    </w:p>
    <w:p w:rsidR="006D55FC" w:rsidRPr="004E520F" w:rsidRDefault="006D55FC" w:rsidP="006D55FC">
      <w:pPr>
        <w:spacing w:after="0" w:line="240" w:lineRule="auto"/>
        <w:jc w:val="both"/>
        <w:rPr>
          <w:rFonts w:ascii="Times New Roman" w:eastAsia="SimHei" w:hAnsi="Times New Roman" w:cs="Mangal"/>
        </w:rPr>
      </w:pPr>
      <w:r w:rsidRPr="004E520F">
        <w:rPr>
          <w:rFonts w:ascii="Times New Roman" w:eastAsia="SimHei" w:hAnsi="Times New Roman" w:cs="Mangal"/>
        </w:rPr>
        <w:tab/>
        <w:t>For the purpose of the policy, rain water harvesting shall be defined as the water management technique and practice of collecting rainwater falling in the roof of house/ building or groups of houses/ buildings located on a single plot of land and storing the collected water in underground or over ground storage container/ tanks/ cisterns for continuous use/ consumption by the users/ occupants of the houses/ buildings from whose roofs the water has been so collected. The Policy does not include within its purview rain water harvesting for ground water recharge. It shall be implemented by the Water Resources Department and shall apply to the whole State.</w:t>
      </w:r>
    </w:p>
    <w:p w:rsidR="006D55FC" w:rsidRPr="004E520F" w:rsidRDefault="006D55FC" w:rsidP="006D55FC">
      <w:pPr>
        <w:spacing w:after="0" w:line="240" w:lineRule="auto"/>
        <w:jc w:val="both"/>
        <w:rPr>
          <w:rFonts w:ascii="Times New Roman" w:eastAsia="SimHei" w:hAnsi="Times New Roman" w:cs="Mangal"/>
        </w:rPr>
      </w:pPr>
    </w:p>
    <w:p w:rsidR="006D55FC" w:rsidRPr="004E520F" w:rsidRDefault="006D55FC" w:rsidP="006D55FC">
      <w:pPr>
        <w:spacing w:after="0" w:line="240" w:lineRule="auto"/>
        <w:jc w:val="both"/>
        <w:rPr>
          <w:rFonts w:ascii="Times New Roman" w:eastAsia="SimHei" w:hAnsi="Times New Roman" w:cs="Mangal"/>
        </w:rPr>
      </w:pPr>
      <w:r w:rsidRPr="004E520F">
        <w:rPr>
          <w:rFonts w:ascii="Times New Roman" w:eastAsia="SimHei" w:hAnsi="Times New Roman" w:cs="Mangal"/>
        </w:rPr>
        <w:t>3.0 Mandatory provisions of the Policy:</w:t>
      </w:r>
    </w:p>
    <w:p w:rsidR="006D55FC" w:rsidRPr="004E520F" w:rsidRDefault="006D55FC" w:rsidP="006D55FC">
      <w:pPr>
        <w:spacing w:after="0" w:line="240" w:lineRule="auto"/>
        <w:jc w:val="both"/>
        <w:rPr>
          <w:rFonts w:ascii="Times New Roman" w:eastAsia="SimHei" w:hAnsi="Times New Roman" w:cs="Mangal"/>
        </w:rPr>
      </w:pPr>
      <w:r w:rsidRPr="004E520F">
        <w:rPr>
          <w:rFonts w:ascii="Times New Roman" w:eastAsia="SimHei" w:hAnsi="Times New Roman" w:cs="Mangal"/>
        </w:rPr>
        <w:tab/>
        <w:t>Rainwater harvesting shall be mandatory for the following groups of users:</w:t>
      </w:r>
    </w:p>
    <w:p w:rsidR="006D55FC" w:rsidRPr="004E520F" w:rsidRDefault="006D55FC" w:rsidP="006D55FC">
      <w:pPr>
        <w:numPr>
          <w:ilvl w:val="1"/>
          <w:numId w:val="1"/>
        </w:numPr>
        <w:spacing w:after="0" w:line="240" w:lineRule="auto"/>
        <w:ind w:left="720" w:hanging="360"/>
        <w:jc w:val="both"/>
        <w:rPr>
          <w:rFonts w:ascii="Times New Roman" w:eastAsia="SimHei" w:hAnsi="Times New Roman" w:cs="Mangal"/>
        </w:rPr>
      </w:pPr>
      <w:r w:rsidRPr="004E520F">
        <w:rPr>
          <w:rFonts w:ascii="Times New Roman" w:eastAsia="SimHei" w:hAnsi="Times New Roman" w:cs="Mangal"/>
        </w:rPr>
        <w:t xml:space="preserve">Residential complexes including apartments on a plot area of 2000 sq. </w:t>
      </w:r>
      <w:proofErr w:type="spellStart"/>
      <w:r w:rsidRPr="004E520F">
        <w:rPr>
          <w:rFonts w:ascii="Times New Roman" w:eastAsia="SimHei" w:hAnsi="Times New Roman" w:cs="Mangal"/>
        </w:rPr>
        <w:t>mts</w:t>
      </w:r>
      <w:proofErr w:type="spellEnd"/>
      <w:r w:rsidRPr="004E520F">
        <w:rPr>
          <w:rFonts w:ascii="Times New Roman" w:eastAsia="SimHei" w:hAnsi="Times New Roman" w:cs="Mangal"/>
        </w:rPr>
        <w:t>. and above.</w:t>
      </w:r>
    </w:p>
    <w:p w:rsidR="006D55FC" w:rsidRPr="004E520F" w:rsidRDefault="006D55FC" w:rsidP="006D55FC">
      <w:pPr>
        <w:numPr>
          <w:ilvl w:val="1"/>
          <w:numId w:val="1"/>
        </w:numPr>
        <w:spacing w:after="0" w:line="240" w:lineRule="auto"/>
        <w:ind w:left="720" w:hanging="360"/>
        <w:jc w:val="both"/>
        <w:rPr>
          <w:rFonts w:ascii="Times New Roman" w:eastAsia="SimHei" w:hAnsi="Times New Roman" w:cs="Mangal"/>
        </w:rPr>
      </w:pPr>
      <w:r w:rsidRPr="004E520F">
        <w:rPr>
          <w:rFonts w:ascii="Times New Roman" w:eastAsia="SimHei" w:hAnsi="Times New Roman" w:cs="Mangal"/>
        </w:rPr>
        <w:t xml:space="preserve">Commercial complexes on a plot area of 1500 sq. </w:t>
      </w:r>
      <w:proofErr w:type="spellStart"/>
      <w:r w:rsidRPr="004E520F">
        <w:rPr>
          <w:rFonts w:ascii="Times New Roman" w:eastAsia="SimHei" w:hAnsi="Times New Roman" w:cs="Mangal"/>
        </w:rPr>
        <w:t>mts</w:t>
      </w:r>
      <w:proofErr w:type="spellEnd"/>
      <w:r w:rsidRPr="004E520F">
        <w:rPr>
          <w:rFonts w:ascii="Times New Roman" w:eastAsia="SimHei" w:hAnsi="Times New Roman" w:cs="Mangal"/>
        </w:rPr>
        <w:t>. and above.</w:t>
      </w:r>
    </w:p>
    <w:p w:rsidR="006D55FC" w:rsidRPr="004E520F" w:rsidRDefault="006D55FC" w:rsidP="006D55FC">
      <w:pPr>
        <w:numPr>
          <w:ilvl w:val="1"/>
          <w:numId w:val="1"/>
        </w:numPr>
        <w:spacing w:after="0" w:line="240" w:lineRule="auto"/>
        <w:ind w:left="720" w:hanging="360"/>
        <w:jc w:val="both"/>
        <w:rPr>
          <w:rFonts w:ascii="Times New Roman" w:eastAsia="SimHei" w:hAnsi="Times New Roman" w:cs="Mangal"/>
        </w:rPr>
      </w:pPr>
      <w:r w:rsidRPr="004E520F">
        <w:rPr>
          <w:rFonts w:ascii="Times New Roman" w:eastAsia="SimHei" w:hAnsi="Times New Roman" w:cs="Mangal"/>
        </w:rPr>
        <w:t xml:space="preserve">Industrial units on a plot area of 10000 sq. </w:t>
      </w:r>
      <w:proofErr w:type="spellStart"/>
      <w:r w:rsidRPr="004E520F">
        <w:rPr>
          <w:rFonts w:ascii="Times New Roman" w:eastAsia="SimHei" w:hAnsi="Times New Roman" w:cs="Mangal"/>
        </w:rPr>
        <w:t>mts</w:t>
      </w:r>
      <w:proofErr w:type="spellEnd"/>
      <w:r w:rsidRPr="004E520F">
        <w:rPr>
          <w:rFonts w:ascii="Times New Roman" w:eastAsia="SimHei" w:hAnsi="Times New Roman" w:cs="Mangal"/>
        </w:rPr>
        <w:t>. and above.</w:t>
      </w:r>
    </w:p>
    <w:p w:rsidR="006D55FC" w:rsidRPr="004E520F" w:rsidRDefault="006D55FC" w:rsidP="006D55FC">
      <w:pPr>
        <w:spacing w:after="0" w:line="240" w:lineRule="auto"/>
        <w:jc w:val="both"/>
        <w:rPr>
          <w:rFonts w:ascii="Times New Roman" w:eastAsia="SimHei" w:hAnsi="Times New Roman" w:cs="Mangal"/>
        </w:rPr>
      </w:pPr>
      <w:r w:rsidRPr="004E520F">
        <w:rPr>
          <w:rFonts w:ascii="Times New Roman" w:eastAsia="SimHei" w:hAnsi="Times New Roman" w:cs="Mangal"/>
        </w:rPr>
        <w:t xml:space="preserve">However all the users of these groups who incorporate Sewage Treatment Plants (STP) or Waste Water Recycling processes in their premises shall be exempted from the mandatory inclusion of rainwater harvesting structures in their </w:t>
      </w:r>
      <w:proofErr w:type="gramStart"/>
      <w:r w:rsidRPr="004E520F">
        <w:rPr>
          <w:rFonts w:ascii="Times New Roman" w:eastAsia="SimHei" w:hAnsi="Times New Roman" w:cs="Mangal"/>
        </w:rPr>
        <w:t>building.</w:t>
      </w:r>
      <w:proofErr w:type="gramEnd"/>
    </w:p>
    <w:p w:rsidR="006D55FC" w:rsidRPr="004E520F" w:rsidRDefault="006D55FC" w:rsidP="006D55FC">
      <w:pPr>
        <w:spacing w:after="0" w:line="240" w:lineRule="auto"/>
        <w:jc w:val="both"/>
        <w:rPr>
          <w:rFonts w:ascii="Times New Roman" w:eastAsia="SimHei" w:hAnsi="Times New Roman" w:cs="Mangal"/>
        </w:rPr>
      </w:pPr>
      <w:r w:rsidRPr="004E520F">
        <w:rPr>
          <w:rFonts w:ascii="Times New Roman" w:eastAsia="SimHei" w:hAnsi="Times New Roman" w:cs="Mangal"/>
        </w:rPr>
        <w:t>4.0 Incentives for adopting rainwater harvesting.</w:t>
      </w:r>
    </w:p>
    <w:p w:rsidR="006D55FC" w:rsidRPr="004E520F" w:rsidRDefault="006D55FC" w:rsidP="006D55FC">
      <w:pPr>
        <w:spacing w:after="0" w:line="240" w:lineRule="auto"/>
        <w:jc w:val="both"/>
        <w:rPr>
          <w:rFonts w:ascii="Times New Roman" w:eastAsia="SimHei" w:hAnsi="Times New Roman" w:cs="Mangal"/>
        </w:rPr>
      </w:pPr>
    </w:p>
    <w:p w:rsidR="006D55FC" w:rsidRPr="004E520F" w:rsidRDefault="006D55FC" w:rsidP="006D55FC">
      <w:pPr>
        <w:spacing w:after="0" w:line="240" w:lineRule="auto"/>
        <w:jc w:val="both"/>
        <w:rPr>
          <w:rFonts w:ascii="Times New Roman" w:eastAsia="SimHei" w:hAnsi="Times New Roman" w:cs="Mangal"/>
        </w:rPr>
      </w:pPr>
    </w:p>
    <w:p w:rsidR="006D55FC" w:rsidRPr="004E520F" w:rsidRDefault="006D55FC" w:rsidP="006D55FC">
      <w:pPr>
        <w:spacing w:after="0" w:line="240" w:lineRule="auto"/>
        <w:jc w:val="both"/>
        <w:rPr>
          <w:rFonts w:ascii="Times New Roman" w:eastAsia="SimHei" w:hAnsi="Times New Roman" w:cs="Mangal"/>
        </w:rPr>
      </w:pPr>
    </w:p>
    <w:p w:rsidR="006D55FC" w:rsidRPr="004E520F" w:rsidRDefault="006D55FC" w:rsidP="006D55FC">
      <w:pPr>
        <w:spacing w:after="0" w:line="240" w:lineRule="auto"/>
        <w:jc w:val="both"/>
        <w:rPr>
          <w:rFonts w:ascii="Times New Roman" w:eastAsia="SimHei" w:hAnsi="Times New Roman" w:cs="Mangal"/>
        </w:rPr>
      </w:pPr>
    </w:p>
    <w:p w:rsidR="006D55FC" w:rsidRPr="004E520F" w:rsidRDefault="006D55FC" w:rsidP="006D55FC">
      <w:pPr>
        <w:spacing w:after="0" w:line="240" w:lineRule="auto"/>
        <w:jc w:val="both"/>
        <w:rPr>
          <w:rFonts w:ascii="Times New Roman" w:eastAsia="SimHei" w:hAnsi="Times New Roman" w:cs="Mangal"/>
        </w:rPr>
      </w:pPr>
    </w:p>
    <w:p w:rsidR="006D55FC" w:rsidRPr="004E520F" w:rsidRDefault="006D55FC" w:rsidP="006D55FC">
      <w:pPr>
        <w:spacing w:after="0" w:line="240" w:lineRule="auto"/>
        <w:jc w:val="both"/>
        <w:rPr>
          <w:rFonts w:ascii="Times New Roman" w:eastAsia="SimHei" w:hAnsi="Times New Roman" w:cs="Mangal"/>
        </w:rPr>
      </w:pPr>
      <w:r w:rsidRPr="004E520F">
        <w:rPr>
          <w:rFonts w:ascii="Times New Roman" w:eastAsia="SimHei" w:hAnsi="Times New Roman" w:cs="Mangal"/>
        </w:rPr>
        <w:t>4.1 Subsidies:</w:t>
      </w:r>
    </w:p>
    <w:p w:rsidR="006D55FC" w:rsidRPr="004E520F" w:rsidRDefault="006D55FC" w:rsidP="006D55FC">
      <w:pPr>
        <w:spacing w:after="0" w:line="240" w:lineRule="auto"/>
        <w:jc w:val="both"/>
        <w:rPr>
          <w:rFonts w:ascii="Times New Roman" w:eastAsia="SimHei" w:hAnsi="Times New Roman" w:cs="Mangal"/>
        </w:rPr>
      </w:pPr>
      <w:r w:rsidRPr="004E520F">
        <w:rPr>
          <w:rFonts w:ascii="Times New Roman" w:eastAsia="SimHei" w:hAnsi="Times New Roman" w:cs="Mangal"/>
        </w:rPr>
        <w:tab/>
        <w:t>Subsidies on a reimbursement basis shall be provided to the different user groups at the rates mentioned below:-</w:t>
      </w:r>
    </w:p>
    <w:p w:rsidR="006D55FC" w:rsidRPr="004E520F" w:rsidRDefault="006D55FC" w:rsidP="006D55FC">
      <w:pPr>
        <w:spacing w:after="0" w:line="240" w:lineRule="auto"/>
        <w:jc w:val="both"/>
        <w:rPr>
          <w:rFonts w:ascii="Times New Roman" w:eastAsia="SimHei" w:hAnsi="Times New Roman" w:cs="Mangal"/>
        </w:rPr>
      </w:pPr>
      <w:r w:rsidRPr="004E520F">
        <w:rPr>
          <w:rFonts w:ascii="Times New Roman" w:eastAsia="SimHei" w:hAnsi="Times New Roman" w:cs="Mangal"/>
        </w:rPr>
        <w:t>(</w:t>
      </w:r>
      <w:proofErr w:type="spellStart"/>
      <w:r w:rsidRPr="004E520F">
        <w:rPr>
          <w:rFonts w:ascii="Times New Roman" w:eastAsia="SimHei" w:hAnsi="Times New Roman" w:cs="Mangal"/>
        </w:rPr>
        <w:t>i</w:t>
      </w:r>
      <w:proofErr w:type="spellEnd"/>
      <w:r w:rsidRPr="004E520F">
        <w:rPr>
          <w:rFonts w:ascii="Times New Roman" w:eastAsia="SimHei" w:hAnsi="Times New Roman" w:cs="Mangal"/>
        </w:rPr>
        <w:t>) Individual households/ residential houses:</w:t>
      </w:r>
    </w:p>
    <w:p w:rsidR="006D55FC" w:rsidRPr="004E520F" w:rsidRDefault="006D55FC" w:rsidP="006D55FC">
      <w:pPr>
        <w:spacing w:after="0" w:line="240" w:lineRule="auto"/>
        <w:jc w:val="both"/>
        <w:rPr>
          <w:rFonts w:ascii="Times New Roman" w:eastAsia="SimHei" w:hAnsi="Times New Roman" w:cs="Mangal"/>
        </w:rPr>
      </w:pPr>
      <w:r w:rsidRPr="004E520F">
        <w:rPr>
          <w:rFonts w:ascii="Times New Roman" w:eastAsia="SimHei" w:hAnsi="Times New Roman" w:cs="Mangal"/>
        </w:rPr>
        <w:tab/>
      </w:r>
      <w:proofErr w:type="spellStart"/>
      <w:r w:rsidRPr="004E520F">
        <w:rPr>
          <w:rFonts w:ascii="Times New Roman" w:eastAsia="SimHei" w:hAnsi="Times New Roman" w:cs="Mangal"/>
        </w:rPr>
        <w:t>Upto</w:t>
      </w:r>
      <w:proofErr w:type="spellEnd"/>
      <w:r w:rsidRPr="004E520F">
        <w:rPr>
          <w:rFonts w:ascii="Times New Roman" w:eastAsia="SimHei" w:hAnsi="Times New Roman" w:cs="Mangal"/>
        </w:rPr>
        <w:t xml:space="preserve"> 50% of the cost incurred on incorporating the rainwater harvesting system or Rs.50</w:t>
      </w:r>
      <w:proofErr w:type="gramStart"/>
      <w:r w:rsidRPr="004E520F">
        <w:rPr>
          <w:rFonts w:ascii="Times New Roman" w:eastAsia="SimHei" w:hAnsi="Times New Roman" w:cs="Mangal"/>
        </w:rPr>
        <w:t>,000.00</w:t>
      </w:r>
      <w:proofErr w:type="gramEnd"/>
      <w:r w:rsidRPr="004E520F">
        <w:rPr>
          <w:rFonts w:ascii="Times New Roman" w:eastAsia="SimHei" w:hAnsi="Times New Roman" w:cs="Mangal"/>
        </w:rPr>
        <w:t xml:space="preserve"> (Rupees fifty thousand only), whichever is less.</w:t>
      </w:r>
    </w:p>
    <w:p w:rsidR="006D55FC" w:rsidRPr="004E520F" w:rsidRDefault="006D55FC" w:rsidP="006D55FC">
      <w:pPr>
        <w:spacing w:after="0" w:line="240" w:lineRule="auto"/>
        <w:jc w:val="both"/>
        <w:rPr>
          <w:rFonts w:ascii="Times New Roman" w:eastAsia="SimHei" w:hAnsi="Times New Roman" w:cs="Mangal"/>
        </w:rPr>
      </w:pPr>
    </w:p>
    <w:p w:rsidR="006D55FC" w:rsidRPr="004E520F" w:rsidRDefault="006D55FC" w:rsidP="006D55FC">
      <w:pPr>
        <w:spacing w:after="0" w:line="240" w:lineRule="auto"/>
        <w:jc w:val="both"/>
        <w:rPr>
          <w:rFonts w:ascii="Times New Roman" w:eastAsia="SimHei" w:hAnsi="Times New Roman" w:cs="Mangal"/>
        </w:rPr>
      </w:pPr>
      <w:r w:rsidRPr="004E520F">
        <w:rPr>
          <w:rFonts w:ascii="Times New Roman" w:eastAsia="SimHei" w:hAnsi="Times New Roman" w:cs="Mangal"/>
        </w:rPr>
        <w:t>(ii) Residential complexes and apartments buildings:</w:t>
      </w:r>
    </w:p>
    <w:p w:rsidR="006D55FC" w:rsidRPr="004E520F" w:rsidRDefault="006D55FC" w:rsidP="006D55FC">
      <w:pPr>
        <w:spacing w:after="0" w:line="240" w:lineRule="auto"/>
        <w:jc w:val="both"/>
        <w:rPr>
          <w:rFonts w:ascii="Times New Roman" w:eastAsia="SimHei" w:hAnsi="Times New Roman" w:cs="Mangal"/>
        </w:rPr>
      </w:pPr>
      <w:r w:rsidRPr="004E520F">
        <w:rPr>
          <w:rFonts w:ascii="Times New Roman" w:eastAsia="SimHei" w:hAnsi="Times New Roman" w:cs="Mangal"/>
        </w:rPr>
        <w:tab/>
        <w:t xml:space="preserve">Cost of rainwater harvesting structures in such establishments shall be subsidized </w:t>
      </w:r>
      <w:proofErr w:type="spellStart"/>
      <w:r w:rsidRPr="004E520F">
        <w:rPr>
          <w:rFonts w:ascii="Times New Roman" w:eastAsia="SimHei" w:hAnsi="Times New Roman" w:cs="Mangal"/>
        </w:rPr>
        <w:t>upto</w:t>
      </w:r>
      <w:proofErr w:type="spellEnd"/>
      <w:r w:rsidRPr="004E520F">
        <w:rPr>
          <w:rFonts w:ascii="Times New Roman" w:eastAsia="SimHei" w:hAnsi="Times New Roman" w:cs="Mangal"/>
        </w:rPr>
        <w:t xml:space="preserve"> 50% of the cost of the structures or Rs.2.5 </w:t>
      </w:r>
      <w:proofErr w:type="spellStart"/>
      <w:r w:rsidRPr="004E520F">
        <w:rPr>
          <w:rFonts w:ascii="Times New Roman" w:eastAsia="SimHei" w:hAnsi="Times New Roman" w:cs="Mangal"/>
        </w:rPr>
        <w:t>lakh</w:t>
      </w:r>
      <w:proofErr w:type="spellEnd"/>
      <w:r w:rsidRPr="004E520F">
        <w:rPr>
          <w:rFonts w:ascii="Times New Roman" w:eastAsia="SimHei" w:hAnsi="Times New Roman" w:cs="Mangal"/>
        </w:rPr>
        <w:t>, whichever is less.</w:t>
      </w:r>
    </w:p>
    <w:p w:rsidR="006D55FC" w:rsidRPr="004E520F" w:rsidRDefault="006D55FC" w:rsidP="006D55FC">
      <w:pPr>
        <w:spacing w:after="0" w:line="240" w:lineRule="auto"/>
        <w:jc w:val="both"/>
        <w:rPr>
          <w:rFonts w:ascii="Times New Roman" w:eastAsia="SimHei" w:hAnsi="Times New Roman" w:cs="Mangal"/>
        </w:rPr>
      </w:pPr>
    </w:p>
    <w:p w:rsidR="006D55FC" w:rsidRPr="004E520F" w:rsidRDefault="006D55FC" w:rsidP="006D55FC">
      <w:pPr>
        <w:spacing w:after="0" w:line="240" w:lineRule="auto"/>
        <w:jc w:val="both"/>
        <w:rPr>
          <w:rFonts w:ascii="Times New Roman" w:eastAsia="SimHei" w:hAnsi="Times New Roman" w:cs="Mangal"/>
        </w:rPr>
      </w:pPr>
      <w:r w:rsidRPr="004E520F">
        <w:rPr>
          <w:rFonts w:ascii="Times New Roman" w:eastAsia="SimHei" w:hAnsi="Times New Roman" w:cs="Mangal"/>
        </w:rPr>
        <w:t>(iii) For Commercial complexes and hospitality businesses:</w:t>
      </w:r>
    </w:p>
    <w:p w:rsidR="006D55FC" w:rsidRPr="004E520F" w:rsidRDefault="006D55FC" w:rsidP="006D55FC">
      <w:pPr>
        <w:spacing w:after="0" w:line="240" w:lineRule="auto"/>
        <w:jc w:val="both"/>
        <w:rPr>
          <w:rFonts w:ascii="Times New Roman" w:eastAsia="SimHei" w:hAnsi="Times New Roman" w:cs="Mangal"/>
        </w:rPr>
      </w:pPr>
      <w:r w:rsidRPr="004E520F">
        <w:rPr>
          <w:rFonts w:ascii="Times New Roman" w:eastAsia="SimHei" w:hAnsi="Times New Roman" w:cs="Mangal"/>
        </w:rPr>
        <w:tab/>
        <w:t xml:space="preserve">Subsidies for this group of users shall be </w:t>
      </w:r>
      <w:proofErr w:type="spellStart"/>
      <w:r w:rsidRPr="004E520F">
        <w:rPr>
          <w:rFonts w:ascii="Times New Roman" w:eastAsia="SimHei" w:hAnsi="Times New Roman" w:cs="Mangal"/>
        </w:rPr>
        <w:t>upto</w:t>
      </w:r>
      <w:proofErr w:type="spellEnd"/>
      <w:r w:rsidRPr="004E520F">
        <w:rPr>
          <w:rFonts w:ascii="Times New Roman" w:eastAsia="SimHei" w:hAnsi="Times New Roman" w:cs="Mangal"/>
        </w:rPr>
        <w:t xml:space="preserve"> 50% of the cost of the rainwater harvesting structures or Rs.2.5 </w:t>
      </w:r>
      <w:proofErr w:type="spellStart"/>
      <w:r w:rsidRPr="004E520F">
        <w:rPr>
          <w:rFonts w:ascii="Times New Roman" w:eastAsia="SimHei" w:hAnsi="Times New Roman" w:cs="Mangal"/>
        </w:rPr>
        <w:t>lakh</w:t>
      </w:r>
      <w:proofErr w:type="spellEnd"/>
      <w:r w:rsidRPr="004E520F">
        <w:rPr>
          <w:rFonts w:ascii="Times New Roman" w:eastAsia="SimHei" w:hAnsi="Times New Roman" w:cs="Mangal"/>
        </w:rPr>
        <w:t>, whichever is less.</w:t>
      </w:r>
    </w:p>
    <w:p w:rsidR="006D55FC" w:rsidRPr="004E520F" w:rsidRDefault="006D55FC" w:rsidP="006D55FC">
      <w:pPr>
        <w:spacing w:after="0" w:line="240" w:lineRule="auto"/>
        <w:jc w:val="both"/>
        <w:rPr>
          <w:rFonts w:ascii="Times New Roman" w:eastAsia="SimHei" w:hAnsi="Times New Roman" w:cs="Mangal"/>
        </w:rPr>
      </w:pPr>
    </w:p>
    <w:p w:rsidR="006D55FC" w:rsidRPr="004E520F" w:rsidRDefault="006D55FC" w:rsidP="006D55FC">
      <w:pPr>
        <w:spacing w:after="0" w:line="240" w:lineRule="auto"/>
        <w:jc w:val="both"/>
        <w:rPr>
          <w:rFonts w:ascii="Times New Roman" w:eastAsia="SimHei" w:hAnsi="Times New Roman" w:cs="Mangal"/>
        </w:rPr>
      </w:pPr>
    </w:p>
    <w:p w:rsidR="006D55FC" w:rsidRPr="004E520F" w:rsidRDefault="006D55FC" w:rsidP="006D55FC">
      <w:pPr>
        <w:spacing w:after="0" w:line="240" w:lineRule="auto"/>
        <w:jc w:val="both"/>
        <w:rPr>
          <w:rFonts w:ascii="Times New Roman" w:eastAsia="SimHei" w:hAnsi="Times New Roman" w:cs="Mangal"/>
        </w:rPr>
      </w:pPr>
      <w:r w:rsidRPr="004E520F">
        <w:rPr>
          <w:rFonts w:ascii="Times New Roman" w:eastAsia="SimHei" w:hAnsi="Times New Roman" w:cs="Mangal"/>
        </w:rPr>
        <w:tab/>
        <w:t>The subsidies as fixed above shall be granted only on a reimbursement basis.</w:t>
      </w:r>
    </w:p>
    <w:p w:rsidR="006D55FC" w:rsidRPr="004E520F" w:rsidRDefault="006D55FC" w:rsidP="006D55FC">
      <w:pPr>
        <w:spacing w:after="0" w:line="240" w:lineRule="auto"/>
        <w:jc w:val="both"/>
        <w:rPr>
          <w:rFonts w:ascii="Times New Roman" w:eastAsia="SimHei" w:hAnsi="Times New Roman" w:cs="Mangal"/>
        </w:rPr>
      </w:pPr>
    </w:p>
    <w:p w:rsidR="006D55FC" w:rsidRPr="004E520F" w:rsidRDefault="006D55FC" w:rsidP="006D55FC">
      <w:pPr>
        <w:spacing w:after="0" w:line="240" w:lineRule="auto"/>
        <w:jc w:val="both"/>
        <w:rPr>
          <w:rFonts w:ascii="Times New Roman" w:eastAsia="SimHei" w:hAnsi="Times New Roman" w:cs="Mangal"/>
        </w:rPr>
      </w:pPr>
      <w:r w:rsidRPr="004E520F">
        <w:rPr>
          <w:rFonts w:ascii="Times New Roman" w:eastAsia="SimHei" w:hAnsi="Times New Roman" w:cs="Mangal"/>
        </w:rPr>
        <w:t>4.2 Annual award for the best rainwater harvesting practices:</w:t>
      </w:r>
    </w:p>
    <w:p w:rsidR="006D55FC" w:rsidRPr="004E520F" w:rsidRDefault="006D55FC" w:rsidP="006D55FC">
      <w:pPr>
        <w:spacing w:after="0" w:line="240" w:lineRule="auto"/>
        <w:jc w:val="both"/>
        <w:rPr>
          <w:rFonts w:ascii="Times New Roman" w:eastAsia="SimHei" w:hAnsi="Times New Roman" w:cs="Mangal"/>
        </w:rPr>
      </w:pPr>
    </w:p>
    <w:p w:rsidR="006D55FC" w:rsidRPr="004E520F" w:rsidRDefault="006D55FC" w:rsidP="006D55FC">
      <w:pPr>
        <w:spacing w:after="0" w:line="240" w:lineRule="auto"/>
        <w:jc w:val="both"/>
        <w:rPr>
          <w:rFonts w:ascii="Times New Roman" w:eastAsia="SimHei" w:hAnsi="Times New Roman" w:cs="Mangal"/>
        </w:rPr>
      </w:pPr>
      <w:r w:rsidRPr="004E520F">
        <w:rPr>
          <w:rFonts w:ascii="Times New Roman" w:eastAsia="SimHei" w:hAnsi="Times New Roman" w:cs="Mangal"/>
        </w:rPr>
        <w:tab/>
        <w:t>The Water Resources Department will institute an annual award carrying a citation and cash prize for the best rainwater harvesting practices in the State. Details of the award such as the amount of the cash prize, the last date for submission of application every year etc., will be published subsequently.</w:t>
      </w:r>
    </w:p>
    <w:p w:rsidR="006D55FC" w:rsidRPr="004E520F" w:rsidRDefault="006D55FC" w:rsidP="006D55FC">
      <w:pPr>
        <w:spacing w:after="0" w:line="240" w:lineRule="auto"/>
        <w:jc w:val="both"/>
        <w:rPr>
          <w:rFonts w:ascii="Times New Roman" w:eastAsia="SimHei" w:hAnsi="Times New Roman" w:cs="Mangal"/>
        </w:rPr>
      </w:pPr>
    </w:p>
    <w:p w:rsidR="006D55FC" w:rsidRPr="004E520F" w:rsidRDefault="006D55FC" w:rsidP="006D55FC">
      <w:pPr>
        <w:spacing w:after="0" w:line="240" w:lineRule="auto"/>
        <w:jc w:val="both"/>
        <w:rPr>
          <w:rFonts w:ascii="Times New Roman" w:eastAsia="SimHei" w:hAnsi="Times New Roman" w:cs="Mangal"/>
        </w:rPr>
      </w:pPr>
      <w:r w:rsidRPr="004E520F">
        <w:rPr>
          <w:rFonts w:ascii="Times New Roman" w:eastAsia="SimHei" w:hAnsi="Times New Roman" w:cs="Mangal"/>
        </w:rPr>
        <w:t>5.0 Amendment of Bye-laws:</w:t>
      </w:r>
    </w:p>
    <w:p w:rsidR="006D55FC" w:rsidRPr="004E520F" w:rsidRDefault="006D55FC" w:rsidP="006D55FC">
      <w:pPr>
        <w:spacing w:after="0" w:line="240" w:lineRule="auto"/>
        <w:jc w:val="both"/>
        <w:rPr>
          <w:rFonts w:ascii="Times New Roman" w:eastAsia="SimHei" w:hAnsi="Times New Roman" w:cs="Mangal"/>
        </w:rPr>
      </w:pPr>
      <w:r w:rsidRPr="004E520F">
        <w:rPr>
          <w:rFonts w:ascii="Times New Roman" w:eastAsia="SimHei" w:hAnsi="Times New Roman" w:cs="Mangal"/>
        </w:rPr>
        <w:tab/>
        <w:t>All the authorities/ departments/ agencies in the State issuing licenses/ permissions for building construction shall take immediate action to amend the building bye-law presently in force to bring them into conformity with this policy. Similarly all other authorities issuing licenses/ clearances etc. shall also take action to bring their rules/ regulations/ procedures/ guidelines etc. for issuing licenses etc. into conformity with this policy.</w:t>
      </w:r>
    </w:p>
    <w:p w:rsidR="006D55FC" w:rsidRPr="004E520F" w:rsidRDefault="006D55FC" w:rsidP="006D55FC">
      <w:pPr>
        <w:spacing w:after="0" w:line="240" w:lineRule="auto"/>
        <w:jc w:val="both"/>
        <w:rPr>
          <w:rFonts w:ascii="Times New Roman" w:eastAsia="SimHei" w:hAnsi="Times New Roman" w:cs="Mangal"/>
        </w:rPr>
      </w:pPr>
    </w:p>
    <w:p w:rsidR="006D55FC" w:rsidRPr="004E520F" w:rsidRDefault="006D55FC" w:rsidP="006D55FC">
      <w:pPr>
        <w:spacing w:after="0" w:line="240" w:lineRule="auto"/>
        <w:jc w:val="both"/>
        <w:rPr>
          <w:rFonts w:ascii="Times New Roman" w:eastAsia="SimHei" w:hAnsi="Times New Roman" w:cs="Mangal"/>
        </w:rPr>
      </w:pPr>
      <w:r w:rsidRPr="004E520F">
        <w:rPr>
          <w:rFonts w:ascii="Times New Roman" w:eastAsia="SimHei" w:hAnsi="Times New Roman" w:cs="Mangal"/>
        </w:rPr>
        <w:lastRenderedPageBreak/>
        <w:t>6.0 Nodal Officers:</w:t>
      </w:r>
    </w:p>
    <w:p w:rsidR="006D55FC" w:rsidRPr="004E520F" w:rsidRDefault="006D55FC" w:rsidP="006D55FC">
      <w:pPr>
        <w:spacing w:after="0" w:line="240" w:lineRule="auto"/>
        <w:jc w:val="both"/>
        <w:rPr>
          <w:rFonts w:ascii="Times New Roman" w:eastAsia="SimHei" w:hAnsi="Times New Roman" w:cs="Mangal"/>
        </w:rPr>
      </w:pPr>
      <w:r w:rsidRPr="004E520F">
        <w:rPr>
          <w:rFonts w:ascii="Times New Roman" w:eastAsia="SimHei" w:hAnsi="Times New Roman" w:cs="Mangal"/>
        </w:rPr>
        <w:tab/>
        <w:t xml:space="preserve">For the purpose of releasing subsidy, the Executive Engineer, Works Division-I, Panaji and the Executive Engineer, Works Division-II, </w:t>
      </w:r>
      <w:proofErr w:type="spellStart"/>
      <w:r w:rsidRPr="004E520F">
        <w:rPr>
          <w:rFonts w:ascii="Times New Roman" w:eastAsia="SimHei" w:hAnsi="Times New Roman" w:cs="Mangal"/>
        </w:rPr>
        <w:t>Gogal-Margao</w:t>
      </w:r>
      <w:proofErr w:type="spellEnd"/>
      <w:r w:rsidRPr="004E520F">
        <w:rPr>
          <w:rFonts w:ascii="Times New Roman" w:eastAsia="SimHei" w:hAnsi="Times New Roman" w:cs="Mangal"/>
        </w:rPr>
        <w:t xml:space="preserve">, shall be the Nodal Officers for North Goa and </w:t>
      </w:r>
      <w:smartTag w:uri="urn:schemas-microsoft-com:office:smarttags" w:element="place">
        <w:r w:rsidRPr="004E520F">
          <w:rPr>
            <w:rFonts w:ascii="Times New Roman" w:eastAsia="SimHei" w:hAnsi="Times New Roman" w:cs="Mangal"/>
          </w:rPr>
          <w:t>South Goa</w:t>
        </w:r>
      </w:smartTag>
      <w:r w:rsidRPr="004E520F">
        <w:rPr>
          <w:rFonts w:ascii="Times New Roman" w:eastAsia="SimHei" w:hAnsi="Times New Roman" w:cs="Mangal"/>
        </w:rPr>
        <w:t xml:space="preserve"> respectively.</w:t>
      </w:r>
    </w:p>
    <w:p w:rsidR="006D55FC" w:rsidRPr="004E520F" w:rsidRDefault="006D55FC" w:rsidP="006D55FC">
      <w:pPr>
        <w:spacing w:after="0" w:line="240" w:lineRule="auto"/>
        <w:jc w:val="both"/>
        <w:rPr>
          <w:rFonts w:ascii="Times New Roman" w:eastAsia="SimHei" w:hAnsi="Times New Roman" w:cs="Mangal"/>
        </w:rPr>
      </w:pPr>
    </w:p>
    <w:p w:rsidR="006D55FC" w:rsidRPr="004E520F" w:rsidRDefault="006D55FC" w:rsidP="006D55FC">
      <w:pPr>
        <w:spacing w:after="0" w:line="240" w:lineRule="auto"/>
        <w:jc w:val="both"/>
        <w:rPr>
          <w:rFonts w:ascii="Times New Roman" w:eastAsia="SimHei" w:hAnsi="Times New Roman" w:cs="Mangal"/>
        </w:rPr>
      </w:pPr>
      <w:r w:rsidRPr="004E520F">
        <w:rPr>
          <w:rFonts w:ascii="Times New Roman" w:eastAsia="SimHei" w:hAnsi="Times New Roman" w:cs="Mangal"/>
        </w:rPr>
        <w:t>7.0 Procedure for releasing subsidies:</w:t>
      </w:r>
    </w:p>
    <w:p w:rsidR="006D55FC" w:rsidRPr="004E520F" w:rsidRDefault="006D55FC" w:rsidP="006D55FC">
      <w:pPr>
        <w:spacing w:after="0" w:line="240" w:lineRule="auto"/>
        <w:jc w:val="both"/>
        <w:rPr>
          <w:rFonts w:ascii="Times New Roman" w:eastAsia="SimHei" w:hAnsi="Times New Roman" w:cs="Mangal"/>
        </w:rPr>
      </w:pPr>
      <w:r w:rsidRPr="004E520F">
        <w:rPr>
          <w:rFonts w:ascii="Times New Roman" w:eastAsia="SimHei" w:hAnsi="Times New Roman" w:cs="Mangal"/>
        </w:rPr>
        <w:tab/>
        <w:t xml:space="preserve">Subsidies under this policy shall be released only on a reimbursement basis. Procedure for claiming/ releasing subsidy shall be as under: </w:t>
      </w:r>
    </w:p>
    <w:p w:rsidR="006D55FC" w:rsidRPr="004E520F" w:rsidRDefault="006D55FC" w:rsidP="006D55FC">
      <w:pPr>
        <w:spacing w:after="0" w:line="240" w:lineRule="auto"/>
        <w:jc w:val="both"/>
        <w:rPr>
          <w:rFonts w:ascii="Times New Roman" w:eastAsia="SimHei" w:hAnsi="Times New Roman" w:cs="Mangal"/>
        </w:rPr>
      </w:pPr>
    </w:p>
    <w:p w:rsidR="006D55FC" w:rsidRPr="004E520F" w:rsidRDefault="006D55FC" w:rsidP="006D55FC">
      <w:pPr>
        <w:spacing w:after="0" w:line="240" w:lineRule="auto"/>
        <w:jc w:val="both"/>
        <w:rPr>
          <w:rFonts w:ascii="Times New Roman" w:eastAsia="SimHei" w:hAnsi="Times New Roman" w:cs="Mangal"/>
        </w:rPr>
      </w:pPr>
      <w:r w:rsidRPr="004E520F">
        <w:rPr>
          <w:rFonts w:ascii="Times New Roman" w:eastAsia="SimHei" w:hAnsi="Times New Roman" w:cs="Mangal"/>
        </w:rPr>
        <w:tab/>
        <w:t xml:space="preserve">As Nodal Officers for North Goa and </w:t>
      </w:r>
      <w:smartTag w:uri="urn:schemas-microsoft-com:office:smarttags" w:element="place">
        <w:r w:rsidRPr="004E520F">
          <w:rPr>
            <w:rFonts w:ascii="Times New Roman" w:eastAsia="SimHei" w:hAnsi="Times New Roman" w:cs="Mangal"/>
          </w:rPr>
          <w:t>South Goa</w:t>
        </w:r>
      </w:smartTag>
      <w:r w:rsidRPr="004E520F">
        <w:rPr>
          <w:rFonts w:ascii="Times New Roman" w:eastAsia="SimHei" w:hAnsi="Times New Roman" w:cs="Mangal"/>
        </w:rPr>
        <w:t xml:space="preserve"> respectively, the Executive Engineer, Works Division-I, Panaji and the Executive Engineer, Works Division-II, </w:t>
      </w:r>
      <w:proofErr w:type="spellStart"/>
      <w:r w:rsidRPr="004E520F">
        <w:rPr>
          <w:rFonts w:ascii="Times New Roman" w:eastAsia="SimHei" w:hAnsi="Times New Roman" w:cs="Mangal"/>
        </w:rPr>
        <w:t>Gogal-Margao</w:t>
      </w:r>
      <w:proofErr w:type="spellEnd"/>
      <w:r w:rsidRPr="004E520F">
        <w:rPr>
          <w:rFonts w:ascii="Times New Roman" w:eastAsia="SimHei" w:hAnsi="Times New Roman" w:cs="Mangal"/>
        </w:rPr>
        <w:t xml:space="preserve"> shall be responsible for releasing the subsidy.</w:t>
      </w:r>
    </w:p>
    <w:p w:rsidR="006D55FC" w:rsidRPr="004E520F" w:rsidRDefault="006D55FC" w:rsidP="006D55FC">
      <w:pPr>
        <w:spacing w:after="0" w:line="240" w:lineRule="auto"/>
        <w:jc w:val="both"/>
        <w:rPr>
          <w:rFonts w:ascii="Times New Roman" w:eastAsia="SimHei" w:hAnsi="Times New Roman" w:cs="Mangal"/>
        </w:rPr>
      </w:pPr>
    </w:p>
    <w:p w:rsidR="006D55FC" w:rsidRPr="004E520F" w:rsidRDefault="006D55FC" w:rsidP="006D55FC">
      <w:pPr>
        <w:spacing w:after="0" w:line="240" w:lineRule="auto"/>
        <w:jc w:val="both"/>
        <w:rPr>
          <w:rFonts w:ascii="Times New Roman" w:eastAsia="SimHei" w:hAnsi="Times New Roman" w:cs="Mangal"/>
        </w:rPr>
      </w:pPr>
      <w:r w:rsidRPr="004E520F">
        <w:rPr>
          <w:rFonts w:ascii="Times New Roman" w:eastAsia="SimHei" w:hAnsi="Times New Roman" w:cs="Mangal"/>
        </w:rPr>
        <w:tab/>
        <w:t>Along with the building plans submitted to the licensing authorities at the time of seeking building licenses, the building owners/ builders shall also submit the detailed designs, drawings, plans and estimates for the rainwater harvesting structures proposed to be incorporated in the buildings. Besides the layout of the main building, the site plan shall also show the layout of the rainwater harvesting structures. Estimates for the rainwater harvesting structures shall be based on the current Goa Schedules of rates. Market rates supported with appropriate quotations shall be adopted for items of works not available in the Goa Schedules of Rates. All the designs, plans, drawings and estimates for the rainwater harvesting structures shall be prepared and signed by a registered Civil Engineer.</w:t>
      </w:r>
    </w:p>
    <w:p w:rsidR="006D55FC" w:rsidRPr="004E520F" w:rsidRDefault="006D55FC" w:rsidP="006D55FC">
      <w:pPr>
        <w:spacing w:after="0" w:line="240" w:lineRule="auto"/>
        <w:ind w:firstLine="720"/>
        <w:jc w:val="both"/>
        <w:rPr>
          <w:rFonts w:ascii="Times New Roman" w:eastAsia="SimHei" w:hAnsi="Times New Roman" w:cs="Mangal"/>
        </w:rPr>
      </w:pPr>
      <w:r w:rsidRPr="004E520F">
        <w:rPr>
          <w:rFonts w:ascii="Times New Roman" w:eastAsia="SimHei" w:hAnsi="Times New Roman" w:cs="Mangal"/>
        </w:rPr>
        <w:t>The licensing authority shall forward such plans and estimates for the rainwater harvesting structures to the Nodal Officers, North and South i.e. the Executive Engineer, Works Division-I or II, Water Resources Department, as the case may be. The Nodal Officer shall examine the plans, designs, drawings and estimates for their technical soundness and inspect the site if necessary. If in his opinion the designs, drawings, etc. require amendments or corrections he shall communicate the same to the licensing authority who shall then obtain the required amendments from the applicant. On satisfying himself about the soundness of the plans, etc. the Nodal Officer shall convey his approval to the licensing authority.</w:t>
      </w:r>
    </w:p>
    <w:p w:rsidR="006D55FC" w:rsidRPr="004E520F" w:rsidRDefault="006D55FC" w:rsidP="006D55FC">
      <w:pPr>
        <w:spacing w:after="0" w:line="240" w:lineRule="auto"/>
        <w:ind w:firstLine="720"/>
        <w:jc w:val="both"/>
        <w:rPr>
          <w:rFonts w:ascii="Times New Roman" w:eastAsia="SimHei" w:hAnsi="Times New Roman" w:cs="Mangal"/>
        </w:rPr>
      </w:pPr>
    </w:p>
    <w:p w:rsidR="006D55FC" w:rsidRPr="004E520F" w:rsidRDefault="006D55FC" w:rsidP="006D55FC">
      <w:pPr>
        <w:spacing w:after="0" w:line="240" w:lineRule="auto"/>
        <w:jc w:val="both"/>
        <w:rPr>
          <w:rFonts w:ascii="Times New Roman" w:eastAsia="SimHei" w:hAnsi="Times New Roman" w:cs="Mangal"/>
        </w:rPr>
      </w:pPr>
      <w:r w:rsidRPr="004E520F">
        <w:rPr>
          <w:rFonts w:ascii="Times New Roman" w:eastAsia="SimHei" w:hAnsi="Times New Roman" w:cs="Mangal"/>
        </w:rPr>
        <w:tab/>
      </w:r>
    </w:p>
    <w:p w:rsidR="006D55FC" w:rsidRPr="004E520F" w:rsidRDefault="006D55FC" w:rsidP="006D55FC">
      <w:pPr>
        <w:spacing w:after="0" w:line="240" w:lineRule="auto"/>
        <w:ind w:firstLine="720"/>
        <w:jc w:val="both"/>
        <w:rPr>
          <w:rFonts w:ascii="Times New Roman" w:eastAsia="SimHei" w:hAnsi="Times New Roman" w:cs="Mangal"/>
        </w:rPr>
      </w:pPr>
      <w:r w:rsidRPr="004E520F">
        <w:rPr>
          <w:rFonts w:ascii="Times New Roman" w:eastAsia="SimHei" w:hAnsi="Times New Roman" w:cs="Mangal"/>
        </w:rPr>
        <w:lastRenderedPageBreak/>
        <w:t xml:space="preserve">On obtaining the building completion certificate from the licensing authority, the owner/ builder shall apply to the concerned Nodal Officer for claiming reimbursement of subsidy on the expenditure incurred by him on the construction of the rainwater harvesting structures. If the final structure as actually constructed differs in any respect from the original approved plans, the owner shall submit approved revised plans and estimates to the Nodal Officer. The Nodal Officer shall then inspect the structure, measure and record the dimensions of the rainwater harvesting structures. He shall then submit the plans, estimates measurements etc. along with a report to the Superintending Engineer, Circle I, Water Resources Department. The later shall then inspect the site and issue a Completion Certificate after satisfying </w:t>
      </w:r>
      <w:proofErr w:type="gramStart"/>
      <w:r w:rsidRPr="004E520F">
        <w:rPr>
          <w:rFonts w:ascii="Times New Roman" w:eastAsia="SimHei" w:hAnsi="Times New Roman" w:cs="Mangal"/>
        </w:rPr>
        <w:t>himself</w:t>
      </w:r>
      <w:proofErr w:type="gramEnd"/>
      <w:r w:rsidRPr="004E520F">
        <w:rPr>
          <w:rFonts w:ascii="Times New Roman" w:eastAsia="SimHei" w:hAnsi="Times New Roman" w:cs="Mangal"/>
        </w:rPr>
        <w:t xml:space="preserve"> that the rainwater harvesting structures has been completed to approved plans. The Nodal Officer shall then release the subsidy to the owner/ builder.</w:t>
      </w:r>
    </w:p>
    <w:p w:rsidR="006D55FC" w:rsidRPr="004E520F" w:rsidRDefault="006D55FC" w:rsidP="006D55FC">
      <w:pPr>
        <w:spacing w:after="0" w:line="240" w:lineRule="auto"/>
        <w:jc w:val="both"/>
        <w:rPr>
          <w:rFonts w:ascii="Times New Roman" w:eastAsia="SimHei" w:hAnsi="Times New Roman" w:cs="Mangal"/>
        </w:rPr>
      </w:pPr>
      <w:r w:rsidRPr="004E520F">
        <w:rPr>
          <w:rFonts w:ascii="Times New Roman" w:eastAsia="SimHei" w:hAnsi="Times New Roman" w:cs="Mangal"/>
        </w:rPr>
        <w:tab/>
      </w:r>
    </w:p>
    <w:p w:rsidR="006D55FC" w:rsidRPr="004E520F" w:rsidRDefault="006D55FC" w:rsidP="006D55FC">
      <w:pPr>
        <w:spacing w:after="0" w:line="240" w:lineRule="auto"/>
        <w:jc w:val="center"/>
        <w:rPr>
          <w:rFonts w:ascii="Times New Roman" w:eastAsia="SimHei" w:hAnsi="Times New Roman" w:cs="Mangal"/>
        </w:rPr>
      </w:pPr>
      <w:proofErr w:type="gramStart"/>
      <w:r w:rsidRPr="004E520F">
        <w:rPr>
          <w:rFonts w:ascii="Times New Roman" w:eastAsia="SimHei" w:hAnsi="Times New Roman" w:cs="Mangal"/>
        </w:rPr>
        <w:t>By order and in the name of the Governor of Goa.</w:t>
      </w:r>
      <w:proofErr w:type="gramEnd"/>
    </w:p>
    <w:p w:rsidR="006D55FC" w:rsidRPr="004E520F" w:rsidRDefault="006D55FC" w:rsidP="006D55FC">
      <w:pPr>
        <w:spacing w:after="0" w:line="240" w:lineRule="auto"/>
        <w:jc w:val="center"/>
        <w:rPr>
          <w:rFonts w:ascii="Times New Roman" w:eastAsia="SimHei" w:hAnsi="Times New Roman" w:cs="Mangal"/>
        </w:rPr>
      </w:pPr>
    </w:p>
    <w:p w:rsidR="006D55FC" w:rsidRPr="004E520F" w:rsidRDefault="006D55FC" w:rsidP="006D55FC">
      <w:pPr>
        <w:spacing w:after="0" w:line="240" w:lineRule="auto"/>
        <w:jc w:val="center"/>
        <w:rPr>
          <w:rFonts w:ascii="Times New Roman" w:eastAsia="SimHei" w:hAnsi="Times New Roman" w:cs="Mangal"/>
        </w:rPr>
      </w:pPr>
      <w:r w:rsidRPr="004E520F">
        <w:rPr>
          <w:rFonts w:ascii="Times New Roman" w:eastAsia="SimHei" w:hAnsi="Times New Roman" w:cs="Mangal"/>
        </w:rPr>
        <w:t xml:space="preserve">S.T. </w:t>
      </w:r>
      <w:proofErr w:type="spellStart"/>
      <w:r w:rsidRPr="004E520F">
        <w:rPr>
          <w:rFonts w:ascii="Times New Roman" w:eastAsia="SimHei" w:hAnsi="Times New Roman" w:cs="Mangal"/>
        </w:rPr>
        <w:t>Nadkarni</w:t>
      </w:r>
      <w:proofErr w:type="spellEnd"/>
      <w:r w:rsidRPr="004E520F">
        <w:rPr>
          <w:rFonts w:ascii="Times New Roman" w:eastAsia="SimHei" w:hAnsi="Times New Roman" w:cs="Mangal"/>
        </w:rPr>
        <w:t xml:space="preserve">, </w:t>
      </w:r>
    </w:p>
    <w:p w:rsidR="006D55FC" w:rsidRPr="004E520F" w:rsidRDefault="006D55FC" w:rsidP="006D55FC">
      <w:pPr>
        <w:spacing w:after="0" w:line="240" w:lineRule="auto"/>
        <w:jc w:val="center"/>
        <w:rPr>
          <w:rFonts w:ascii="Times New Roman" w:eastAsia="SimHei" w:hAnsi="Times New Roman" w:cs="Mangal"/>
        </w:rPr>
      </w:pPr>
      <w:proofErr w:type="gramStart"/>
      <w:r w:rsidRPr="004E520F">
        <w:rPr>
          <w:rFonts w:ascii="Times New Roman" w:eastAsia="SimHei" w:hAnsi="Times New Roman" w:cs="Mangal"/>
        </w:rPr>
        <w:t>Chief Engineer &amp; Ex-Officio Additional Secretary.</w:t>
      </w:r>
      <w:proofErr w:type="gramEnd"/>
    </w:p>
    <w:p w:rsidR="006D55FC" w:rsidRPr="004E520F" w:rsidRDefault="006D55FC" w:rsidP="006D55FC">
      <w:pPr>
        <w:spacing w:after="0" w:line="240" w:lineRule="auto"/>
        <w:jc w:val="both"/>
        <w:rPr>
          <w:rFonts w:ascii="Times New Roman" w:eastAsia="SimHei" w:hAnsi="Times New Roman" w:cs="Mangal"/>
        </w:rPr>
      </w:pPr>
    </w:p>
    <w:p w:rsidR="006D55FC" w:rsidRPr="004E520F" w:rsidRDefault="006D55FC" w:rsidP="006D55FC">
      <w:pPr>
        <w:spacing w:after="0" w:line="240" w:lineRule="auto"/>
        <w:jc w:val="both"/>
        <w:rPr>
          <w:rFonts w:ascii="Times New Roman" w:eastAsia="SimHei" w:hAnsi="Times New Roman" w:cs="Mangal"/>
        </w:rPr>
      </w:pPr>
      <w:r w:rsidRPr="004E520F">
        <w:rPr>
          <w:rFonts w:ascii="Times New Roman" w:eastAsia="SimHei" w:hAnsi="Times New Roman" w:cs="Mangal"/>
        </w:rPr>
        <w:t>Panaji, 16</w:t>
      </w:r>
      <w:r w:rsidRPr="004E520F">
        <w:rPr>
          <w:rFonts w:ascii="Times New Roman" w:eastAsia="SimHei" w:hAnsi="Times New Roman" w:cs="Mangal"/>
          <w:vertAlign w:val="superscript"/>
        </w:rPr>
        <w:t>th</w:t>
      </w:r>
      <w:r w:rsidRPr="004E520F">
        <w:rPr>
          <w:rFonts w:ascii="Times New Roman" w:eastAsia="SimHei" w:hAnsi="Times New Roman" w:cs="Mangal"/>
        </w:rPr>
        <w:t xml:space="preserve"> October, 2008.</w:t>
      </w:r>
    </w:p>
    <w:p w:rsidR="006D55FC" w:rsidRPr="004E520F" w:rsidRDefault="006D55FC" w:rsidP="006D55FC">
      <w:pPr>
        <w:spacing w:after="0" w:line="240" w:lineRule="auto"/>
        <w:jc w:val="center"/>
        <w:rPr>
          <w:rFonts w:ascii="Times New Roman" w:eastAsia="SimHei" w:hAnsi="Times New Roman" w:cs="Mangal"/>
        </w:rPr>
      </w:pPr>
    </w:p>
    <w:p w:rsidR="006D55FC" w:rsidRPr="004E520F" w:rsidRDefault="006D55FC" w:rsidP="006D55FC">
      <w:pPr>
        <w:spacing w:after="0" w:line="240" w:lineRule="auto"/>
        <w:jc w:val="both"/>
        <w:rPr>
          <w:rFonts w:ascii="Times New Roman" w:eastAsia="SimHei" w:hAnsi="Times New Roman" w:cs="Mangal"/>
        </w:rPr>
      </w:pPr>
    </w:p>
    <w:p w:rsidR="006D55FC" w:rsidRPr="004E520F" w:rsidRDefault="006D55FC" w:rsidP="006D55FC">
      <w:pPr>
        <w:spacing w:after="0" w:line="240" w:lineRule="auto"/>
        <w:jc w:val="both"/>
        <w:rPr>
          <w:rFonts w:ascii="Times New Roman" w:eastAsia="SimHei" w:hAnsi="Times New Roman" w:cs="Mangal"/>
        </w:rPr>
      </w:pPr>
    </w:p>
    <w:p w:rsidR="006D55FC" w:rsidRPr="004E520F" w:rsidRDefault="006D55FC" w:rsidP="006D55FC">
      <w:pPr>
        <w:spacing w:after="0" w:line="240" w:lineRule="auto"/>
        <w:jc w:val="both"/>
        <w:rPr>
          <w:rFonts w:ascii="Times New Roman" w:eastAsia="SimHei" w:hAnsi="Times New Roman" w:cs="Mangal"/>
        </w:rPr>
      </w:pPr>
    </w:p>
    <w:p w:rsidR="006D55FC" w:rsidRPr="004E520F" w:rsidRDefault="006D55FC" w:rsidP="006D55FC">
      <w:pPr>
        <w:spacing w:after="0" w:line="240" w:lineRule="auto"/>
        <w:rPr>
          <w:rFonts w:ascii="Times New Roman" w:eastAsia="SimHei" w:hAnsi="Times New Roman" w:cs="Mangal"/>
        </w:rPr>
        <w:sectPr w:rsidR="006D55FC" w:rsidRPr="004E520F">
          <w:pgSz w:w="11909" w:h="16834"/>
          <w:pgMar w:top="720" w:right="1440" w:bottom="1152" w:left="1440" w:header="720" w:footer="720" w:gutter="0"/>
          <w:cols w:num="2" w:space="720"/>
        </w:sectPr>
      </w:pPr>
    </w:p>
    <w:p w:rsidR="00E40F8D" w:rsidRDefault="00E40F8D"/>
    <w:sectPr w:rsidR="00E40F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6664D"/>
    <w:multiLevelType w:val="hybridMultilevel"/>
    <w:tmpl w:val="C8ECC2E6"/>
    <w:lvl w:ilvl="0" w:tplc="04090011">
      <w:start w:val="1"/>
      <w:numFmt w:val="decimal"/>
      <w:lvlText w:val="%1)"/>
      <w:lvlJc w:val="left"/>
      <w:pPr>
        <w:tabs>
          <w:tab w:val="num" w:pos="720"/>
        </w:tabs>
        <w:ind w:left="720" w:hanging="360"/>
      </w:pPr>
    </w:lvl>
    <w:lvl w:ilvl="1" w:tplc="F62CC1C6">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6D55FC"/>
    <w:rsid w:val="006D55FC"/>
    <w:rsid w:val="00E40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5820</Characters>
  <Application>Microsoft Office Word</Application>
  <DocSecurity>0</DocSecurity>
  <Lines>48</Lines>
  <Paragraphs>13</Paragraphs>
  <ScaleCrop>false</ScaleCrop>
  <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WRD</dc:creator>
  <cp:keywords/>
  <dc:description/>
  <cp:lastModifiedBy>WRD</cp:lastModifiedBy>
  <cp:revision>2</cp:revision>
  <dcterms:created xsi:type="dcterms:W3CDTF">2014-09-24T05:08:00Z</dcterms:created>
  <dcterms:modified xsi:type="dcterms:W3CDTF">2014-09-24T05:09:00Z</dcterms:modified>
</cp:coreProperties>
</file>